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B0E71" w14:textId="6461E92B" w:rsidR="00244E00" w:rsidRPr="00C65A1B" w:rsidRDefault="00C65A1B" w:rsidP="00244E00">
      <w:pPr>
        <w:pStyle w:val="Header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WG2 Meeting #122</w:t>
      </w:r>
      <w:r w:rsidR="00FF2EC4" w:rsidRPr="00C65A1B">
        <w:rPr>
          <w:noProof w:val="0"/>
          <w:sz w:val="24"/>
          <w:lang w:val="en-US"/>
        </w:rPr>
        <w:tab/>
        <w:t xml:space="preserve"> </w:t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FF2EC4" w:rsidRPr="00C65A1B">
        <w:rPr>
          <w:noProof w:val="0"/>
          <w:sz w:val="24"/>
          <w:lang w:val="en-US"/>
        </w:rPr>
        <w:tab/>
      </w:r>
      <w:r w:rsidR="00377F6B" w:rsidRPr="00C65A1B">
        <w:rPr>
          <w:noProof w:val="0"/>
          <w:sz w:val="24"/>
          <w:lang w:val="en-US"/>
        </w:rPr>
        <w:t xml:space="preserve">  </w:t>
      </w:r>
      <w:r w:rsidR="00BB086A" w:rsidRPr="00C65A1B">
        <w:rPr>
          <w:noProof w:val="0"/>
          <w:sz w:val="24"/>
          <w:lang w:val="en-US"/>
        </w:rPr>
        <w:t xml:space="preserve">   R2-</w:t>
      </w:r>
      <w:r w:rsidR="0025650B">
        <w:rPr>
          <w:noProof w:val="0"/>
          <w:sz w:val="24"/>
          <w:lang w:val="en-US"/>
        </w:rPr>
        <w:t>2305595</w:t>
      </w:r>
    </w:p>
    <w:p w14:paraId="4B9F8AD9" w14:textId="77777777" w:rsidR="00C65A1B" w:rsidRPr="00C65A1B" w:rsidRDefault="00C65A1B" w:rsidP="00C65A1B">
      <w:pPr>
        <w:pStyle w:val="Header"/>
        <w:rPr>
          <w:noProof w:val="0"/>
          <w:sz w:val="24"/>
        </w:rPr>
      </w:pPr>
      <w:r w:rsidRPr="00C65A1B">
        <w:rPr>
          <w:noProof w:val="0"/>
          <w:sz w:val="24"/>
        </w:rPr>
        <w:t>Incheon, Korea, May 22-26, 2023</w:t>
      </w:r>
    </w:p>
    <w:p w14:paraId="1091FA95" w14:textId="77777777" w:rsidR="00DE683C" w:rsidRPr="00DE683C" w:rsidRDefault="00DE683C" w:rsidP="00DE683C">
      <w:pPr>
        <w:pStyle w:val="Header"/>
        <w:rPr>
          <w:noProof w:val="0"/>
          <w:sz w:val="24"/>
        </w:rPr>
      </w:pPr>
    </w:p>
    <w:p w14:paraId="4B46E4D8" w14:textId="43C1428D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0BBFCEF6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E5513D">
        <w:rPr>
          <w:rFonts w:ascii="Arial" w:hAnsi="Arial" w:cs="Arial"/>
          <w:b/>
          <w:bCs/>
          <w:sz w:val="24"/>
        </w:rPr>
        <w:t xml:space="preserve">Discussion on </w:t>
      </w:r>
      <w:r w:rsidR="00C65A1B">
        <w:rPr>
          <w:rFonts w:ascii="Arial" w:hAnsi="Arial" w:cs="Arial"/>
          <w:b/>
          <w:bCs/>
          <w:sz w:val="24"/>
        </w:rPr>
        <w:t>MT-SDT procedure</w:t>
      </w:r>
    </w:p>
    <w:p w14:paraId="3E03E22C" w14:textId="10EF6BBB" w:rsidR="00DE683C" w:rsidRPr="00DA5216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="006419B1">
        <w:rPr>
          <w:rFonts w:ascii="Arial" w:hAnsi="Arial"/>
          <w:b/>
          <w:sz w:val="24"/>
        </w:rPr>
        <w:t xml:space="preserve">         </w:t>
      </w:r>
      <w:r w:rsidR="00C854EB">
        <w:rPr>
          <w:rFonts w:ascii="Arial" w:hAnsi="Arial"/>
          <w:b/>
          <w:sz w:val="24"/>
        </w:rPr>
        <w:t>7</w:t>
      </w:r>
      <w:r w:rsidR="00A447D5">
        <w:rPr>
          <w:rFonts w:ascii="Arial" w:hAnsi="Arial"/>
          <w:b/>
          <w:sz w:val="24"/>
        </w:rPr>
        <w:t>.</w:t>
      </w:r>
      <w:r w:rsidR="00C65A1B">
        <w:rPr>
          <w:rFonts w:ascii="Arial" w:hAnsi="Arial"/>
          <w:b/>
          <w:sz w:val="24"/>
        </w:rPr>
        <w:t>18</w:t>
      </w:r>
      <w:r w:rsidR="00A447D5">
        <w:rPr>
          <w:rFonts w:ascii="Arial" w:hAnsi="Arial"/>
          <w:b/>
          <w:sz w:val="24"/>
        </w:rPr>
        <w:t>.3</w:t>
      </w:r>
      <w:r w:rsidRPr="00DA5216">
        <w:rPr>
          <w:rFonts w:ascii="Arial" w:hAnsi="Arial"/>
          <w:b/>
          <w:sz w:val="24"/>
        </w:rPr>
        <w:tab/>
      </w:r>
    </w:p>
    <w:p w14:paraId="3608921E" w14:textId="77777777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1DA647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672B8BEB" w14:textId="102184AA" w:rsidR="00637512" w:rsidRDefault="00C65A1B" w:rsidP="000446EA">
      <w:pPr>
        <w:ind w:left="-26"/>
        <w:rPr>
          <w:rFonts w:eastAsia="SimSun"/>
          <w:lang w:eastAsia="zh-CN"/>
        </w:rPr>
      </w:pPr>
      <w:r>
        <w:t xml:space="preserve">For MT-SDT, </w:t>
      </w:r>
      <w:r>
        <w:rPr>
          <w:rFonts w:eastAsia="MS Mincho"/>
        </w:rPr>
        <w:t>t</w:t>
      </w:r>
      <w:r>
        <w:t>he following</w:t>
      </w:r>
      <w:r>
        <w:rPr>
          <w:rFonts w:eastAsia="MS Mincho"/>
        </w:rPr>
        <w:t xml:space="preserve"> agreements were achieved in RAN2 #</w:t>
      </w:r>
      <w:r>
        <w:t>121</w:t>
      </w:r>
      <w:r>
        <w:rPr>
          <w:rFonts w:eastAsia="MS Mincho"/>
        </w:rPr>
        <w:t xml:space="preserve"> meeting </w:t>
      </w:r>
      <w:r w:rsidR="00C854EB">
        <w:rPr>
          <w:rFonts w:eastAsia="SimSun"/>
          <w:lang w:eastAsia="zh-CN"/>
        </w:rPr>
        <w:t>[1]</w:t>
      </w:r>
      <w:r w:rsidR="00637512">
        <w:rPr>
          <w:rFonts w:eastAsia="SimSun" w:hint="eastAsia"/>
          <w:lang w:eastAsia="zh-CN"/>
        </w:rPr>
        <w:t>:</w:t>
      </w:r>
    </w:p>
    <w:p w14:paraId="3E492A9A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Agreement:</w:t>
      </w:r>
    </w:p>
    <w:p w14:paraId="17F42BE4" w14:textId="77777777" w:rsidR="00C65A1B" w:rsidRDefault="00C65A1B" w:rsidP="00C65A1B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rPr>
          <w:lang w:val="en-US"/>
        </w:rPr>
        <w:t xml:space="preserve">Include a one-bit indication in paging to trigger MT-SDT.   We will ensure that the CCCH message can be transmitted over CG. </w:t>
      </w:r>
    </w:p>
    <w:p w14:paraId="0D448A6B" w14:textId="77777777" w:rsidR="00C65A1B" w:rsidRDefault="00C65A1B" w:rsidP="00C65A1B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 xml:space="preserve">Indication is per UE.  FFS on signalling.  </w:t>
      </w:r>
    </w:p>
    <w:p w14:paraId="197EF461" w14:textId="77777777" w:rsidR="00C65A1B" w:rsidRDefault="00C65A1B" w:rsidP="00C65A1B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>In case condition for paging triggered MT-SDT is not fulfilled the UE initiates RRC Resume procedure. Resume cause FFS</w:t>
      </w:r>
    </w:p>
    <w:p w14:paraId="3671E7FC" w14:textId="77777777" w:rsidR="00C65A1B" w:rsidRDefault="00C65A1B" w:rsidP="00C65A1B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 xml:space="preserve">Upon receiving MT-SDT trigger, the UE shall initiate SDT procedure if the following checks are satisfied (all these same as Rel-17) </w:t>
      </w:r>
    </w:p>
    <w:p w14:paraId="4ADD719B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FFS 3a: Check for DVT (if UL data becomes available in UL)</w:t>
      </w:r>
    </w:p>
    <w:p w14:paraId="2C5C36F4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3b: Check for SDT RSRP threshold</w:t>
      </w:r>
    </w:p>
    <w:p w14:paraId="68B4FAD7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3c: Check for TA validation before selecting CG (if applicable)</w:t>
      </w:r>
    </w:p>
    <w:p w14:paraId="0207FFE6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3d: Check for SSB level RSRP threshold for CG resource (if applicable)</w:t>
      </w:r>
    </w:p>
    <w:p w14:paraId="07F0BC5A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5.   When UE resumes for MT-SDT, UE resumes all RBs configured for SDT </w:t>
      </w:r>
    </w:p>
    <w:p w14:paraId="3976791A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6. </w:t>
      </w:r>
      <w:r>
        <w:rPr>
          <w:lang w:val="en-US"/>
        </w:rPr>
        <w:tab/>
        <w:t>RBs configured for SDT are common for MO-SDT and MT-SDT</w:t>
      </w:r>
    </w:p>
    <w:p w14:paraId="1110B1F5" w14:textId="77777777" w:rsidR="00C65A1B" w:rsidRDefault="00C65A1B" w:rsidP="00C65A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If there is valid CG-SDT resources, the UE should use CG-SDT to transmit the response.   FFS on whether we need to optimize for case when CG periodicity is too long</w:t>
      </w:r>
    </w:p>
    <w:p w14:paraId="70EB455C" w14:textId="76290E5F" w:rsidR="00C65A1B" w:rsidRPr="00EE050F" w:rsidRDefault="00C65A1B" w:rsidP="00EE05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8. To confirm that when SDT is initiated due to MT-SDT, UE can exchange subsequent DL/UL SDT data on the resumed RBs. This clarifies the RB </w:t>
      </w:r>
      <w:proofErr w:type="spellStart"/>
      <w:r>
        <w:rPr>
          <w:lang w:val="en-US"/>
        </w:rPr>
        <w:t>behaviour</w:t>
      </w:r>
      <w:proofErr w:type="spellEnd"/>
      <w:r>
        <w:rPr>
          <w:lang w:val="en-US"/>
        </w:rPr>
        <w:t xml:space="preserve"> of related RAN2#120 agreement.</w:t>
      </w:r>
    </w:p>
    <w:p w14:paraId="026537D3" w14:textId="77777777" w:rsidR="00EE050F" w:rsidRDefault="00EE050F" w:rsidP="00DE683C">
      <w:pPr>
        <w:rPr>
          <w:rFonts w:eastAsia="SimSun"/>
          <w:lang w:eastAsia="zh-CN"/>
        </w:rPr>
      </w:pPr>
    </w:p>
    <w:p w14:paraId="3F01D041" w14:textId="20193725" w:rsidR="00C65A1B" w:rsidRPr="00C65A1B" w:rsidRDefault="0052202D" w:rsidP="00DE683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</w:t>
      </w:r>
      <w:r w:rsidR="00C65A1B">
        <w:t>discuss the possible solutions when CG periodicity is too long.</w:t>
      </w:r>
    </w:p>
    <w:p w14:paraId="57ECF1F9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1A39563F" w14:textId="7A62E0AC" w:rsidR="00C65A1B" w:rsidRDefault="00DA51F8" w:rsidP="00C65A1B">
      <w:r>
        <w:t>For MT-SDT, i</w:t>
      </w:r>
      <w:r w:rsidR="00C65A1B">
        <w:t xml:space="preserve">t </w:t>
      </w:r>
      <w:r>
        <w:t xml:space="preserve">is </w:t>
      </w:r>
      <w:r w:rsidR="00C65A1B">
        <w:t>possible that</w:t>
      </w:r>
      <w:r>
        <w:t xml:space="preserve"> the</w:t>
      </w:r>
      <w:r w:rsidR="00C65A1B">
        <w:t xml:space="preserve"> </w:t>
      </w:r>
      <w:r w:rsidR="00C65A1B">
        <w:rPr>
          <w:color w:val="000000" w:themeColor="text1"/>
        </w:rPr>
        <w:t xml:space="preserve">UE </w:t>
      </w:r>
      <w:r w:rsidR="007B2551">
        <w:rPr>
          <w:color w:val="000000" w:themeColor="text1"/>
        </w:rPr>
        <w:t>has</w:t>
      </w:r>
      <w:r w:rsidR="00C65A1B">
        <w:rPr>
          <w:color w:val="000000" w:themeColor="text1"/>
        </w:rPr>
        <w:t xml:space="preserve"> both CG-SDT and RA-SDT resources at </w:t>
      </w:r>
      <w:r w:rsidR="007B2551">
        <w:rPr>
          <w:color w:val="000000" w:themeColor="text1"/>
        </w:rPr>
        <w:t xml:space="preserve">the </w:t>
      </w:r>
      <w:r w:rsidR="00C65A1B">
        <w:rPr>
          <w:color w:val="000000" w:themeColor="text1"/>
        </w:rPr>
        <w:t xml:space="preserve">same time. Therefore, </w:t>
      </w:r>
      <w:r w:rsidR="00C65A1B">
        <w:t xml:space="preserve">it was agreed in RAN2#121 that if </w:t>
      </w:r>
      <w:r w:rsidR="008F6018">
        <w:t xml:space="preserve">both </w:t>
      </w:r>
      <w:r w:rsidR="00C65A1B">
        <w:t xml:space="preserve">CG-SDT and RA-SDT resources are available, the UE </w:t>
      </w:r>
      <w:r w:rsidR="008F6018">
        <w:t xml:space="preserve">should </w:t>
      </w:r>
      <w:r w:rsidR="00C65A1B">
        <w:t>select CG-SDT resources to transmit the response</w:t>
      </w:r>
      <w:r w:rsidR="00F43413">
        <w:t>, provided</w:t>
      </w:r>
      <w:r w:rsidR="00C65A1B">
        <w:t xml:space="preserve"> there is</w:t>
      </w:r>
      <w:r w:rsidR="00F43413">
        <w:t xml:space="preserve"> a</w:t>
      </w:r>
      <w:r w:rsidR="00C65A1B">
        <w:t xml:space="preserve"> valid CG-SDT resource. But, when </w:t>
      </w:r>
      <w:r w:rsidR="00F43413">
        <w:t xml:space="preserve">the </w:t>
      </w:r>
      <w:r w:rsidR="00C65A1B">
        <w:t xml:space="preserve">CG periodicity is too long, </w:t>
      </w:r>
      <w:r w:rsidR="00746E67">
        <w:t xml:space="preserve">the </w:t>
      </w:r>
      <w:r w:rsidR="00C65A1B">
        <w:t xml:space="preserve">UE </w:t>
      </w:r>
      <w:proofErr w:type="gramStart"/>
      <w:r w:rsidR="00C65A1B">
        <w:t>has to</w:t>
      </w:r>
      <w:proofErr w:type="gramEnd"/>
      <w:r w:rsidR="00C65A1B">
        <w:t xml:space="preserve"> decide whether the paging response </w:t>
      </w:r>
      <w:r w:rsidR="00746E67">
        <w:t xml:space="preserve">should be </w:t>
      </w:r>
      <w:r w:rsidR="00C65A1B">
        <w:t>transmitted through</w:t>
      </w:r>
      <w:r w:rsidR="00746E67">
        <w:t xml:space="preserve"> a</w:t>
      </w:r>
      <w:r w:rsidR="00C65A1B">
        <w:t xml:space="preserve"> RA-SDT </w:t>
      </w:r>
      <w:r w:rsidR="00746E67">
        <w:t xml:space="preserve">instead of the </w:t>
      </w:r>
      <w:r w:rsidR="00C65A1B">
        <w:t>CG-SDT. The MT-SDT data latency can increase significantly</w:t>
      </w:r>
      <w:r w:rsidR="00746E67">
        <w:t xml:space="preserve"> if</w:t>
      </w:r>
      <w:r w:rsidR="00C65A1B">
        <w:t xml:space="preserve"> </w:t>
      </w:r>
      <w:r w:rsidR="00746E67">
        <w:t xml:space="preserve">the </w:t>
      </w:r>
      <w:r w:rsidR="00C65A1B">
        <w:t xml:space="preserve">UE </w:t>
      </w:r>
      <w:r w:rsidR="00746E67">
        <w:t>simply chooses to transmit</w:t>
      </w:r>
      <w:r w:rsidR="004451FF">
        <w:t xml:space="preserve"> using the</w:t>
      </w:r>
      <w:r w:rsidR="00746E67">
        <w:t xml:space="preserve"> </w:t>
      </w:r>
      <w:r w:rsidR="00C65A1B">
        <w:t xml:space="preserve">CG-SDT resources without considering </w:t>
      </w:r>
      <w:r w:rsidR="004451FF">
        <w:t xml:space="preserve">the </w:t>
      </w:r>
      <w:r w:rsidR="00C65A1B">
        <w:t>CG periodicity. Therefore, to control when to use the CG-SDT and when to use RA-SDT resources, we see two possible options:</w:t>
      </w:r>
    </w:p>
    <w:p w14:paraId="33C27149" w14:textId="418B8542" w:rsidR="00C65A1B" w:rsidRDefault="00C65A1B" w:rsidP="00C65A1B">
      <w:r w:rsidRPr="002A2522">
        <w:rPr>
          <w:b/>
          <w:bCs/>
          <w:u w:val="single"/>
        </w:rPr>
        <w:t>Option 1:</w:t>
      </w:r>
      <w:r>
        <w:t xml:space="preserve"> A certain time interval </w:t>
      </w:r>
      <w:r w:rsidR="00523B58">
        <w:t>is indicated by the network to the UE</w:t>
      </w:r>
      <w:r w:rsidR="00AA6A3A">
        <w:t>, which the UE uses to determine the appropriate resource</w:t>
      </w:r>
    </w:p>
    <w:p w14:paraId="248D0A8C" w14:textId="5BD42ABB" w:rsidR="00C65A1B" w:rsidRDefault="0086379D" w:rsidP="00C65A1B">
      <w:r>
        <w:t xml:space="preserve">The </w:t>
      </w:r>
      <w:proofErr w:type="spellStart"/>
      <w:r w:rsidR="00C65A1B">
        <w:t>gNB</w:t>
      </w:r>
      <w:proofErr w:type="spellEnd"/>
      <w:r w:rsidR="00C65A1B">
        <w:t xml:space="preserve"> indicates</w:t>
      </w:r>
      <w:r>
        <w:t xml:space="preserve"> a</w:t>
      </w:r>
      <w:r w:rsidR="00C65A1B">
        <w:t xml:space="preserve"> time interval in the paging message. The value of </w:t>
      </w:r>
      <w:r>
        <w:t xml:space="preserve">the </w:t>
      </w:r>
      <w:r w:rsidR="00C65A1B">
        <w:t xml:space="preserve">time interval can be based on the latency </w:t>
      </w:r>
      <w:r w:rsidR="00747364">
        <w:t xml:space="preserve">requirement </w:t>
      </w:r>
      <w:r w:rsidR="00C65A1B">
        <w:t xml:space="preserve">of </w:t>
      </w:r>
      <w:r w:rsidR="00747364">
        <w:t xml:space="preserve">the </w:t>
      </w:r>
      <w:r w:rsidR="00C65A1B">
        <w:t>arriv</w:t>
      </w:r>
      <w:r w:rsidR="00747364">
        <w:t>ing</w:t>
      </w:r>
      <w:r w:rsidR="00C65A1B">
        <w:t xml:space="preserve"> MT-SDT. </w:t>
      </w:r>
      <w:r w:rsidR="00020E96">
        <w:t xml:space="preserve">At T1, when the paging response is triggered, the UE calculates the time difference between the current time T1 and the time T2 when the CG-SDT resources would be available next. </w:t>
      </w:r>
      <w:r w:rsidR="00414EF4">
        <w:t xml:space="preserve">Then there are </w:t>
      </w:r>
      <w:r w:rsidR="00C65A1B">
        <w:t xml:space="preserve">two </w:t>
      </w:r>
      <w:r w:rsidR="00414EF4">
        <w:t>potential scenarios that can occur</w:t>
      </w:r>
      <w:r w:rsidR="00C65A1B">
        <w:t xml:space="preserve"> </w:t>
      </w:r>
      <w:r w:rsidR="00747364">
        <w:t>as follows</w:t>
      </w:r>
      <w:r w:rsidR="00C65A1B">
        <w:t>:</w:t>
      </w:r>
    </w:p>
    <w:p w14:paraId="1F7B5ECC" w14:textId="77777777" w:rsidR="007869F2" w:rsidRDefault="007869F2" w:rsidP="002A2522">
      <w:pPr>
        <w:rPr>
          <w:u w:val="single"/>
        </w:rPr>
      </w:pPr>
    </w:p>
    <w:p w14:paraId="562256BB" w14:textId="77777777" w:rsidR="007869F2" w:rsidRDefault="007869F2" w:rsidP="002A2522">
      <w:pPr>
        <w:rPr>
          <w:u w:val="single"/>
        </w:rPr>
      </w:pPr>
    </w:p>
    <w:p w14:paraId="2EA80591" w14:textId="77777777" w:rsidR="007869F2" w:rsidRDefault="007869F2" w:rsidP="002A2522">
      <w:pPr>
        <w:rPr>
          <w:u w:val="single"/>
        </w:rPr>
      </w:pPr>
    </w:p>
    <w:p w14:paraId="38852DB2" w14:textId="2500D63B" w:rsidR="003060DA" w:rsidRDefault="00C65A1B" w:rsidP="007869F2">
      <w:pPr>
        <w:ind w:firstLine="720"/>
      </w:pPr>
      <w:r w:rsidRPr="002A2522">
        <w:rPr>
          <w:u w:val="single"/>
        </w:rPr>
        <w:lastRenderedPageBreak/>
        <w:t xml:space="preserve">Case 1: </w:t>
      </w:r>
      <w:r>
        <w:t>CG-SDT resources are not available within the time interval</w:t>
      </w:r>
    </w:p>
    <w:p w14:paraId="0D3C7EE9" w14:textId="77777777" w:rsidR="003060DA" w:rsidRDefault="003060DA" w:rsidP="003060DA">
      <w:pPr>
        <w:spacing w:line="276" w:lineRule="auto"/>
        <w:jc w:val="center"/>
        <w:rPr>
          <w:b/>
          <w:bCs/>
        </w:rPr>
      </w:pPr>
    </w:p>
    <w:p w14:paraId="1B2EB842" w14:textId="7DAD778B" w:rsidR="003060DA" w:rsidRDefault="006B7DDF" w:rsidP="003060DA">
      <w:pPr>
        <w:spacing w:line="276" w:lineRule="auto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02D016D2" wp14:editId="032511BB">
            <wp:extent cx="6122035" cy="148336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6244F" w14:textId="77ACF050" w:rsidR="003060DA" w:rsidRPr="003060DA" w:rsidRDefault="003060DA" w:rsidP="003060DA">
      <w:pPr>
        <w:spacing w:line="276" w:lineRule="auto"/>
        <w:jc w:val="center"/>
        <w:rPr>
          <w:color w:val="000000" w:themeColor="text1"/>
        </w:rPr>
      </w:pPr>
      <w:r w:rsidRPr="00EE4147">
        <w:rPr>
          <w:b/>
          <w:bCs/>
        </w:rPr>
        <w:t xml:space="preserve">Figure 1: CG resources not available within </w:t>
      </w:r>
      <w:r w:rsidR="00D040C9">
        <w:rPr>
          <w:b/>
          <w:bCs/>
        </w:rPr>
        <w:t>the time interval</w:t>
      </w:r>
    </w:p>
    <w:p w14:paraId="7ECE0A8B" w14:textId="4A3244C0" w:rsidR="00C65A1B" w:rsidRDefault="00AA6472" w:rsidP="00C65A1B">
      <w:r>
        <w:t>In this case the</w:t>
      </w:r>
      <w:r w:rsidR="00C65A1B">
        <w:t xml:space="preserve"> time difference</w:t>
      </w:r>
      <w:r>
        <w:t xml:space="preserve"> between T2 and T1</w:t>
      </w:r>
      <w:r w:rsidR="00C65A1B">
        <w:t xml:space="preserve"> is larger than the time interval</w:t>
      </w:r>
      <w:r w:rsidR="00CF1BF3">
        <w:t xml:space="preserve"> indicated by the </w:t>
      </w:r>
      <w:proofErr w:type="spellStart"/>
      <w:r w:rsidR="00CF1BF3">
        <w:t>gNB</w:t>
      </w:r>
      <w:proofErr w:type="spellEnd"/>
      <w:r w:rsidR="008E6D3B">
        <w:t>. Therefore</w:t>
      </w:r>
      <w:r w:rsidR="00C65A1B">
        <w:t xml:space="preserve">, </w:t>
      </w:r>
      <w:r w:rsidR="00CF1BF3">
        <w:t xml:space="preserve">it is faster </w:t>
      </w:r>
      <w:r w:rsidR="00C65A1B">
        <w:t xml:space="preserve">to transmit </w:t>
      </w:r>
      <w:r w:rsidR="00CF1BF3">
        <w:t xml:space="preserve">the </w:t>
      </w:r>
      <w:r w:rsidR="00C65A1B">
        <w:t xml:space="preserve">response on RA-SDT </w:t>
      </w:r>
      <w:r w:rsidR="008E6D3B">
        <w:t xml:space="preserve">rather </w:t>
      </w:r>
      <w:r w:rsidR="00C65A1B">
        <w:t>than wait</w:t>
      </w:r>
      <w:r w:rsidR="004E216A">
        <w:t xml:space="preserve"> for the next available</w:t>
      </w:r>
      <w:r w:rsidR="00C65A1B">
        <w:t xml:space="preserve"> CG-SDT resource as shown in figure 1</w:t>
      </w:r>
      <w:r w:rsidR="007113ED">
        <w:t>.</w:t>
      </w:r>
    </w:p>
    <w:p w14:paraId="21282AB9" w14:textId="77777777" w:rsidR="00C65A1B" w:rsidRDefault="00C65A1B" w:rsidP="007869F2">
      <w:pPr>
        <w:ind w:firstLine="720"/>
      </w:pPr>
      <w:r w:rsidRPr="007869F2">
        <w:rPr>
          <w:u w:val="single"/>
        </w:rPr>
        <w:t>Case 2:</w:t>
      </w:r>
      <w:r>
        <w:t xml:space="preserve"> CG-SDT resources are available within the time interval</w:t>
      </w:r>
    </w:p>
    <w:p w14:paraId="30D9855C" w14:textId="1C3D3705" w:rsidR="004D7EF5" w:rsidRDefault="006B7DDF" w:rsidP="006B7DDF">
      <w:pPr>
        <w:jc w:val="both"/>
      </w:pPr>
      <w:r>
        <w:rPr>
          <w:noProof/>
        </w:rPr>
        <w:drawing>
          <wp:inline distT="0" distB="0" distL="0" distR="0" wp14:anchorId="73747376" wp14:editId="2C8B3361">
            <wp:extent cx="6122035" cy="14065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F6E74" w14:textId="41D91E93" w:rsidR="004D7EF5" w:rsidRPr="004D7EF5" w:rsidRDefault="004D7EF5" w:rsidP="004D7EF5">
      <w:pPr>
        <w:spacing w:line="276" w:lineRule="auto"/>
        <w:jc w:val="center"/>
        <w:rPr>
          <w:color w:val="000000" w:themeColor="text1"/>
        </w:rPr>
      </w:pPr>
      <w:r w:rsidRPr="00EE4147">
        <w:rPr>
          <w:b/>
          <w:bCs/>
        </w:rPr>
        <w:t xml:space="preserve">Figure </w:t>
      </w:r>
      <w:r>
        <w:rPr>
          <w:b/>
          <w:bCs/>
        </w:rPr>
        <w:t>2</w:t>
      </w:r>
      <w:r w:rsidRPr="00EE4147">
        <w:rPr>
          <w:b/>
          <w:bCs/>
        </w:rPr>
        <w:t xml:space="preserve">: CG resources available within </w:t>
      </w:r>
      <w:r>
        <w:rPr>
          <w:b/>
          <w:bCs/>
        </w:rPr>
        <w:t>the time interval</w:t>
      </w:r>
    </w:p>
    <w:p w14:paraId="7F8014B3" w14:textId="38F69B25" w:rsidR="00C65A1B" w:rsidRDefault="0026582A" w:rsidP="00C65A1B">
      <w:r>
        <w:t xml:space="preserve">In this case, </w:t>
      </w:r>
      <w:r w:rsidR="00C65A1B">
        <w:t>th</w:t>
      </w:r>
      <w:r>
        <w:t>e</w:t>
      </w:r>
      <w:r w:rsidR="00C65A1B">
        <w:t xml:space="preserve"> time difference is smaller than the time interval, </w:t>
      </w:r>
      <w:r w:rsidR="00CA7327">
        <w:t xml:space="preserve">therefore </w:t>
      </w:r>
      <w:r w:rsidR="00C65A1B">
        <w:t>us</w:t>
      </w:r>
      <w:r w:rsidR="00CA7327">
        <w:t>ing the</w:t>
      </w:r>
      <w:r w:rsidR="00C65A1B">
        <w:t xml:space="preserve"> CG-SDT resource can reduce the latency as shown in figure 2</w:t>
      </w:r>
    </w:p>
    <w:p w14:paraId="6FA706AB" w14:textId="67AAB57A" w:rsidR="00C65A1B" w:rsidRDefault="00C65A1B" w:rsidP="00C65A1B">
      <w:pPr>
        <w:rPr>
          <w:color w:val="000000" w:themeColor="text1"/>
        </w:rPr>
      </w:pPr>
      <w:r w:rsidRPr="002A2522">
        <w:rPr>
          <w:b/>
          <w:bCs/>
          <w:color w:val="000000" w:themeColor="text1"/>
          <w:u w:val="single"/>
        </w:rPr>
        <w:t>Option 2:</w:t>
      </w:r>
      <w:r>
        <w:rPr>
          <w:color w:val="000000" w:themeColor="text1"/>
        </w:rPr>
        <w:t xml:space="preserve"> Network can indicate </w:t>
      </w:r>
      <w:r w:rsidR="00CC21C2">
        <w:rPr>
          <w:color w:val="000000" w:themeColor="text1"/>
        </w:rPr>
        <w:t xml:space="preserve">directly </w:t>
      </w:r>
      <w:r>
        <w:rPr>
          <w:color w:val="000000" w:themeColor="text1"/>
        </w:rPr>
        <w:t>in the paging message whether to use RA-SDT or CG-SDT to transmit the paging response based on the available MT-SDT</w:t>
      </w:r>
    </w:p>
    <w:p w14:paraId="2BFD2C09" w14:textId="0D5773E7" w:rsidR="00C65A1B" w:rsidRDefault="00CC21C2" w:rsidP="00C65A1B">
      <w:r>
        <w:t>B</w:t>
      </w:r>
      <w:r w:rsidR="00C65A1B">
        <w:t>oth</w:t>
      </w:r>
      <w:r>
        <w:t xml:space="preserve"> the above</w:t>
      </w:r>
      <w:r w:rsidR="00C65A1B">
        <w:t xml:space="preserve"> options provide </w:t>
      </w:r>
      <w:r w:rsidR="0047629D">
        <w:t xml:space="preserve">the </w:t>
      </w:r>
      <w:r w:rsidR="00C65A1B">
        <w:t>same benefit</w:t>
      </w:r>
      <w:r w:rsidR="0047629D">
        <w:t>,</w:t>
      </w:r>
      <w:r w:rsidR="00C65A1B">
        <w:t xml:space="preserve"> i.e., to reduce </w:t>
      </w:r>
      <w:r w:rsidR="005301DE">
        <w:t xml:space="preserve">the </w:t>
      </w:r>
      <w:r w:rsidR="00C65A1B">
        <w:t xml:space="preserve">paging response delay by avoiding waiting for </w:t>
      </w:r>
      <w:r w:rsidR="00B90315">
        <w:t xml:space="preserve">a </w:t>
      </w:r>
      <w:r w:rsidR="00C65A1B">
        <w:t>CG</w:t>
      </w:r>
      <w:r w:rsidR="002A2522">
        <w:t>-SDT resources</w:t>
      </w:r>
      <w:r w:rsidR="00B90315">
        <w:t xml:space="preserve"> with long periodicity</w:t>
      </w:r>
      <w:r w:rsidR="00C65A1B">
        <w:t>. We prefer option 2 since the specification impact is relatively small and UE simply selects resources for the paging response based on the indication by the network. Further, NW has better knowledge about MT-</w:t>
      </w:r>
      <w:proofErr w:type="gramStart"/>
      <w:r w:rsidR="00C65A1B">
        <w:t>SDT</w:t>
      </w:r>
      <w:proofErr w:type="gramEnd"/>
      <w:r w:rsidR="00C65A1B">
        <w:t xml:space="preserve"> so it knows whether paging response is more suitable for RA-SDT or CG-SDT resources.</w:t>
      </w:r>
    </w:p>
    <w:p w14:paraId="2A8F291E" w14:textId="587545C4" w:rsidR="00C65A1B" w:rsidRPr="00EE050F" w:rsidRDefault="00C65A1B" w:rsidP="00C65A1B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 xml:space="preserve">Observation 1: </w:t>
      </w:r>
      <w:r w:rsidR="002A2522" w:rsidRPr="00EE050F">
        <w:rPr>
          <w:rFonts w:eastAsiaTheme="minorEastAsia"/>
          <w:b/>
          <w:bCs/>
          <w:lang w:eastAsia="zh-CN"/>
        </w:rPr>
        <w:t>T</w:t>
      </w:r>
      <w:r w:rsidRPr="00EE050F">
        <w:rPr>
          <w:rFonts w:eastAsiaTheme="minorEastAsia"/>
          <w:b/>
          <w:bCs/>
          <w:lang w:eastAsia="zh-CN"/>
        </w:rPr>
        <w:t>here is a</w:t>
      </w:r>
      <w:r w:rsidR="00AC0E18" w:rsidRPr="00EE050F">
        <w:rPr>
          <w:rFonts w:eastAsiaTheme="minorEastAsia"/>
          <w:b/>
          <w:bCs/>
          <w:lang w:eastAsia="zh-CN"/>
        </w:rPr>
        <w:t>n</w:t>
      </w:r>
      <w:r w:rsidRPr="00EE050F">
        <w:rPr>
          <w:rFonts w:eastAsiaTheme="minorEastAsia"/>
          <w:b/>
          <w:bCs/>
          <w:lang w:eastAsia="zh-CN"/>
        </w:rPr>
        <w:t xml:space="preserve"> impact on</w:t>
      </w:r>
      <w:r w:rsidR="00AC0E18" w:rsidRPr="00EE050F">
        <w:rPr>
          <w:rFonts w:eastAsiaTheme="minorEastAsia"/>
          <w:b/>
          <w:bCs/>
          <w:lang w:eastAsia="zh-CN"/>
        </w:rPr>
        <w:t xml:space="preserve"> the</w:t>
      </w:r>
      <w:r w:rsidRPr="00EE050F">
        <w:rPr>
          <w:rFonts w:eastAsiaTheme="minorEastAsia"/>
          <w:b/>
          <w:bCs/>
          <w:lang w:eastAsia="zh-CN"/>
        </w:rPr>
        <w:t xml:space="preserve"> latency of MT-SDT when </w:t>
      </w:r>
      <w:r w:rsidR="00C00526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 xml:space="preserve">resource selection to send </w:t>
      </w:r>
      <w:r w:rsidR="00C00526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 xml:space="preserve">paging response </w:t>
      </w:r>
      <w:r w:rsidR="00C00526" w:rsidRPr="00EE050F">
        <w:rPr>
          <w:rFonts w:eastAsiaTheme="minorEastAsia"/>
          <w:b/>
          <w:bCs/>
          <w:lang w:eastAsia="zh-CN"/>
        </w:rPr>
        <w:t xml:space="preserve">is left </w:t>
      </w:r>
      <w:r w:rsidRPr="00EE050F">
        <w:rPr>
          <w:rFonts w:eastAsiaTheme="minorEastAsia"/>
          <w:b/>
          <w:bCs/>
          <w:lang w:eastAsia="zh-CN"/>
        </w:rPr>
        <w:t>up to</w:t>
      </w:r>
      <w:r w:rsidR="00C00526" w:rsidRPr="00EE050F">
        <w:rPr>
          <w:rFonts w:eastAsiaTheme="minorEastAsia"/>
          <w:b/>
          <w:bCs/>
          <w:lang w:eastAsia="zh-CN"/>
        </w:rPr>
        <w:t xml:space="preserve"> the UE</w:t>
      </w:r>
      <w:r w:rsidRPr="00EE050F">
        <w:rPr>
          <w:rFonts w:eastAsiaTheme="minorEastAsia"/>
          <w:b/>
          <w:bCs/>
          <w:lang w:eastAsia="zh-CN"/>
        </w:rPr>
        <w:t xml:space="preserve"> implementation</w:t>
      </w:r>
      <w:r w:rsidR="00C00526" w:rsidRPr="00EE050F">
        <w:rPr>
          <w:rFonts w:eastAsiaTheme="minorEastAsia"/>
          <w:b/>
          <w:bCs/>
          <w:lang w:eastAsia="zh-CN"/>
        </w:rPr>
        <w:t>,</w:t>
      </w:r>
      <w:r w:rsidRPr="00EE050F">
        <w:rPr>
          <w:rFonts w:eastAsiaTheme="minorEastAsia"/>
          <w:b/>
          <w:bCs/>
          <w:lang w:eastAsia="zh-CN"/>
        </w:rPr>
        <w:t xml:space="preserve"> when </w:t>
      </w:r>
      <w:r w:rsidR="00C00526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>CG periodicity is too long.</w:t>
      </w:r>
    </w:p>
    <w:p w14:paraId="51292130" w14:textId="086E4704" w:rsidR="00C65A1B" w:rsidRPr="00EE050F" w:rsidRDefault="00C65A1B" w:rsidP="00C65A1B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 xml:space="preserve">Proposal 1: It would be beneficial for </w:t>
      </w:r>
      <w:r w:rsidR="00666968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>UE to know which UL resources it has to use to transmit</w:t>
      </w:r>
      <w:r w:rsidR="00666968" w:rsidRPr="00EE050F">
        <w:rPr>
          <w:rFonts w:eastAsiaTheme="minorEastAsia"/>
          <w:b/>
          <w:bCs/>
          <w:lang w:eastAsia="zh-CN"/>
        </w:rPr>
        <w:t xml:space="preserve"> the</w:t>
      </w:r>
      <w:r w:rsidRPr="00EE050F">
        <w:rPr>
          <w:rFonts w:eastAsiaTheme="minorEastAsia"/>
          <w:b/>
          <w:bCs/>
          <w:lang w:eastAsia="zh-CN"/>
        </w:rPr>
        <w:t xml:space="preserve"> paging response when</w:t>
      </w:r>
      <w:r w:rsidRPr="00EE050F">
        <w:rPr>
          <w:b/>
          <w:bCs/>
        </w:rPr>
        <w:t xml:space="preserve"> </w:t>
      </w:r>
      <w:r w:rsidR="00666968" w:rsidRPr="00EE050F">
        <w:rPr>
          <w:b/>
          <w:bCs/>
        </w:rPr>
        <w:t xml:space="preserve">the </w:t>
      </w:r>
      <w:r w:rsidRPr="00EE050F">
        <w:rPr>
          <w:b/>
          <w:bCs/>
        </w:rPr>
        <w:t>CG periodicity is too long</w:t>
      </w:r>
      <w:r w:rsidR="00666968" w:rsidRPr="00EE050F">
        <w:rPr>
          <w:b/>
          <w:bCs/>
        </w:rPr>
        <w:t>.</w:t>
      </w:r>
      <w:r w:rsidRPr="00EE050F">
        <w:rPr>
          <w:rFonts w:eastAsiaTheme="minorEastAsia"/>
          <w:b/>
          <w:bCs/>
          <w:lang w:eastAsia="zh-CN"/>
        </w:rPr>
        <w:t xml:space="preserve"> </w:t>
      </w:r>
    </w:p>
    <w:p w14:paraId="162AA99C" w14:textId="517DB56D" w:rsidR="00C65A1B" w:rsidRPr="00EE050F" w:rsidRDefault="00C65A1B" w:rsidP="00EE050F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 xml:space="preserve">Proposal 2: </w:t>
      </w:r>
      <w:r w:rsidR="004C247E" w:rsidRPr="00EE050F">
        <w:rPr>
          <w:rFonts w:eastAsiaTheme="minorEastAsia"/>
          <w:b/>
          <w:bCs/>
          <w:lang w:eastAsia="zh-CN"/>
        </w:rPr>
        <w:t>The n</w:t>
      </w:r>
      <w:r w:rsidRPr="00EE050F">
        <w:rPr>
          <w:rFonts w:eastAsiaTheme="minorEastAsia"/>
          <w:b/>
          <w:bCs/>
          <w:lang w:eastAsia="zh-CN"/>
        </w:rPr>
        <w:t>etwork provides</w:t>
      </w:r>
      <w:r w:rsidR="004C247E" w:rsidRPr="00EE050F">
        <w:rPr>
          <w:rFonts w:eastAsiaTheme="minorEastAsia"/>
          <w:b/>
          <w:bCs/>
          <w:lang w:eastAsia="zh-CN"/>
        </w:rPr>
        <w:t xml:space="preserve"> an</w:t>
      </w:r>
      <w:r w:rsidRPr="00EE050F">
        <w:rPr>
          <w:rFonts w:eastAsiaTheme="minorEastAsia"/>
          <w:b/>
          <w:bCs/>
          <w:lang w:eastAsia="zh-CN"/>
        </w:rPr>
        <w:t xml:space="preserve"> indication in the paging message whether </w:t>
      </w:r>
      <w:r w:rsidR="004C247E" w:rsidRPr="00EE050F">
        <w:rPr>
          <w:rFonts w:eastAsiaTheme="minorEastAsia"/>
          <w:b/>
          <w:bCs/>
          <w:lang w:eastAsia="zh-CN"/>
        </w:rPr>
        <w:t xml:space="preserve">the UE should </w:t>
      </w:r>
      <w:r w:rsidRPr="00EE050F">
        <w:rPr>
          <w:rFonts w:eastAsiaTheme="minorEastAsia"/>
          <w:b/>
          <w:bCs/>
          <w:lang w:eastAsia="zh-CN"/>
        </w:rPr>
        <w:t xml:space="preserve">use RA-SDT or CG-SDT to transmit </w:t>
      </w:r>
      <w:r w:rsidR="004C247E" w:rsidRPr="00EE050F">
        <w:rPr>
          <w:rFonts w:eastAsiaTheme="minorEastAsia"/>
          <w:b/>
          <w:bCs/>
          <w:lang w:eastAsia="zh-CN"/>
        </w:rPr>
        <w:t xml:space="preserve">the </w:t>
      </w:r>
      <w:r w:rsidRPr="00EE050F">
        <w:rPr>
          <w:rFonts w:eastAsiaTheme="minorEastAsia"/>
          <w:b/>
          <w:bCs/>
          <w:lang w:eastAsia="zh-CN"/>
        </w:rPr>
        <w:t>paging response.</w:t>
      </w:r>
    </w:p>
    <w:p w14:paraId="4D40DB74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4C2FDF0F" w14:textId="0B7E8220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Pr="00DE683C">
        <w:rPr>
          <w:rFonts w:hint="eastAsia"/>
          <w:color w:val="000000" w:themeColor="text1"/>
          <w:lang w:val="en-US" w:eastAsia="ko-KR"/>
        </w:rPr>
        <w:t xml:space="preserve"> discussed </w:t>
      </w:r>
      <w:r w:rsidR="00EE050F">
        <w:t>the possible solutions when CG periodicity is too long</w:t>
      </w:r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 w:rsidR="0057684C">
        <w:rPr>
          <w:color w:val="000000" w:themeColor="text1"/>
        </w:rPr>
        <w:t xml:space="preserve"> observation and proposals</w:t>
      </w:r>
      <w:r w:rsidRPr="00DE683C">
        <w:rPr>
          <w:color w:val="000000" w:themeColor="text1"/>
          <w:lang w:eastAsia="ja-JP"/>
        </w:rPr>
        <w:t xml:space="preserve">: </w:t>
      </w:r>
    </w:p>
    <w:p w14:paraId="05688E4F" w14:textId="77777777" w:rsidR="00EE050F" w:rsidRPr="00EE050F" w:rsidRDefault="00EE050F" w:rsidP="00EE050F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>Observation 1: There is an impact on the latency of MT-SDT when the resource selection to send the paging response is left up to the UE implementation, when the CG periodicity is too long.</w:t>
      </w:r>
    </w:p>
    <w:p w14:paraId="1728190F" w14:textId="77777777" w:rsidR="00EE050F" w:rsidRPr="00EE050F" w:rsidRDefault="00EE050F" w:rsidP="00EE050F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lastRenderedPageBreak/>
        <w:t>Proposal 1: It would be beneficial for the UE to know which UL resources it has to use to transmit the paging response when</w:t>
      </w:r>
      <w:r w:rsidRPr="00EE050F">
        <w:rPr>
          <w:b/>
          <w:bCs/>
        </w:rPr>
        <w:t xml:space="preserve"> the CG periodicity is too long.</w:t>
      </w:r>
      <w:r w:rsidRPr="00EE050F">
        <w:rPr>
          <w:rFonts w:eastAsiaTheme="minorEastAsia"/>
          <w:b/>
          <w:bCs/>
          <w:lang w:eastAsia="zh-CN"/>
        </w:rPr>
        <w:t xml:space="preserve"> </w:t>
      </w:r>
    </w:p>
    <w:p w14:paraId="1FD4C10D" w14:textId="0F52CA56" w:rsidR="00EE050F" w:rsidRPr="00EE050F" w:rsidRDefault="00EE050F" w:rsidP="00EE050F">
      <w:pPr>
        <w:pStyle w:val="BodyText"/>
        <w:spacing w:afterLines="50"/>
        <w:rPr>
          <w:rFonts w:eastAsiaTheme="minorEastAsia"/>
          <w:b/>
          <w:bCs/>
          <w:lang w:eastAsia="zh-CN"/>
        </w:rPr>
      </w:pPr>
      <w:r w:rsidRPr="00EE050F">
        <w:rPr>
          <w:rFonts w:eastAsiaTheme="minorEastAsia"/>
          <w:b/>
          <w:bCs/>
          <w:lang w:eastAsia="zh-CN"/>
        </w:rPr>
        <w:t>Proposal 2: The network provides an indication in the paging message whether the UE should use RA-SDT or CG-SDT to transmit the paging response.</w:t>
      </w:r>
    </w:p>
    <w:p w14:paraId="4389F42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1262F28A" w14:textId="7707B449" w:rsidR="00AF6728" w:rsidRPr="00897BB1" w:rsidRDefault="00633F58" w:rsidP="00897BB1">
      <w:pPr>
        <w:jc w:val="both"/>
      </w:pPr>
      <w:r>
        <w:rPr>
          <w:color w:val="000000" w:themeColor="text1"/>
        </w:rPr>
        <w:t>[1]</w:t>
      </w:r>
      <w:r w:rsidR="00960F78">
        <w:t xml:space="preserve"> </w:t>
      </w:r>
      <w:r w:rsidR="004755C7">
        <w:t xml:space="preserve">RAN2#121 Vice Chairman Notes     </w:t>
      </w:r>
      <w:r w:rsidR="00897BB1">
        <w:t xml:space="preserve"> </w:t>
      </w:r>
    </w:p>
    <w:sectPr w:rsidR="00AF6728" w:rsidRPr="00897B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0D5D4" w14:textId="77777777" w:rsidR="00667996" w:rsidRDefault="00667996">
      <w:pPr>
        <w:spacing w:after="0"/>
      </w:pPr>
      <w:r>
        <w:separator/>
      </w:r>
    </w:p>
  </w:endnote>
  <w:endnote w:type="continuationSeparator" w:id="0">
    <w:p w14:paraId="1F473DF5" w14:textId="77777777" w:rsidR="00667996" w:rsidRDefault="00667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734AB0D2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6E511E" wp14:editId="0AC42B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6FCA" w14:textId="6A1660B0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E51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20DD6FCA" w14:textId="6A1660B0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52A25864" w:rsidR="004C36D6" w:rsidRDefault="007869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0BED479C" w:rsidR="008A5FA1" w:rsidRDefault="00226B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8E0DE07" wp14:editId="5437B2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1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5C9B5A" w14:textId="53C0944D" w:rsidR="00226BA5" w:rsidRPr="00226BA5" w:rsidRDefault="00226BA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26BA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0DE0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385C9B5A" w14:textId="53C0944D" w:rsidR="00226BA5" w:rsidRPr="00226BA5" w:rsidRDefault="00226BA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26BA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86B4D" w14:textId="77777777" w:rsidR="00667996" w:rsidRDefault="00667996">
      <w:pPr>
        <w:spacing w:after="0"/>
      </w:pPr>
      <w:r>
        <w:separator/>
      </w:r>
    </w:p>
  </w:footnote>
  <w:footnote w:type="continuationSeparator" w:id="0">
    <w:p w14:paraId="36F16F7A" w14:textId="77777777" w:rsidR="00667996" w:rsidRDefault="006679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85DE" w14:textId="77777777" w:rsidR="008A5FA1" w:rsidRDefault="008A5F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668" w14:textId="77777777" w:rsidR="008A5FA1" w:rsidRDefault="008A5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5437" w14:textId="77777777" w:rsidR="008A5FA1" w:rsidRDefault="008A5F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20E96"/>
    <w:rsid w:val="000446EA"/>
    <w:rsid w:val="00060172"/>
    <w:rsid w:val="00061CB1"/>
    <w:rsid w:val="000A28C5"/>
    <w:rsid w:val="000A3C04"/>
    <w:rsid w:val="000A44F6"/>
    <w:rsid w:val="000C2156"/>
    <w:rsid w:val="00100287"/>
    <w:rsid w:val="001300EE"/>
    <w:rsid w:val="00140A58"/>
    <w:rsid w:val="00144C50"/>
    <w:rsid w:val="001A642E"/>
    <w:rsid w:val="001A6F66"/>
    <w:rsid w:val="001F6B6D"/>
    <w:rsid w:val="00220110"/>
    <w:rsid w:val="00226BA5"/>
    <w:rsid w:val="00232827"/>
    <w:rsid w:val="00244E00"/>
    <w:rsid w:val="002552D4"/>
    <w:rsid w:val="0025637D"/>
    <w:rsid w:val="0025650B"/>
    <w:rsid w:val="0026582A"/>
    <w:rsid w:val="00270FA4"/>
    <w:rsid w:val="00272E1D"/>
    <w:rsid w:val="00291C29"/>
    <w:rsid w:val="002A069C"/>
    <w:rsid w:val="002A2522"/>
    <w:rsid w:val="002D5CAE"/>
    <w:rsid w:val="00304C73"/>
    <w:rsid w:val="00305B7E"/>
    <w:rsid w:val="003060DA"/>
    <w:rsid w:val="00336EC5"/>
    <w:rsid w:val="00336EEB"/>
    <w:rsid w:val="00340E1E"/>
    <w:rsid w:val="00345D84"/>
    <w:rsid w:val="00377F6B"/>
    <w:rsid w:val="00387F97"/>
    <w:rsid w:val="003B376C"/>
    <w:rsid w:val="003E12C1"/>
    <w:rsid w:val="00412625"/>
    <w:rsid w:val="00414EF4"/>
    <w:rsid w:val="004451FF"/>
    <w:rsid w:val="00466408"/>
    <w:rsid w:val="004755C7"/>
    <w:rsid w:val="0047629D"/>
    <w:rsid w:val="00484166"/>
    <w:rsid w:val="00486957"/>
    <w:rsid w:val="00487A73"/>
    <w:rsid w:val="0049306E"/>
    <w:rsid w:val="004939A2"/>
    <w:rsid w:val="00497CDF"/>
    <w:rsid w:val="004C247E"/>
    <w:rsid w:val="004D7EF5"/>
    <w:rsid w:val="004E216A"/>
    <w:rsid w:val="00510FBD"/>
    <w:rsid w:val="0052202D"/>
    <w:rsid w:val="00523B58"/>
    <w:rsid w:val="005301DE"/>
    <w:rsid w:val="0053311D"/>
    <w:rsid w:val="00544B75"/>
    <w:rsid w:val="005659D5"/>
    <w:rsid w:val="0057684C"/>
    <w:rsid w:val="00593C41"/>
    <w:rsid w:val="005A3330"/>
    <w:rsid w:val="005B39E9"/>
    <w:rsid w:val="005C5FE1"/>
    <w:rsid w:val="005D0F56"/>
    <w:rsid w:val="005D7701"/>
    <w:rsid w:val="005F2D87"/>
    <w:rsid w:val="006010FE"/>
    <w:rsid w:val="00633F58"/>
    <w:rsid w:val="00637512"/>
    <w:rsid w:val="006419B1"/>
    <w:rsid w:val="0064352D"/>
    <w:rsid w:val="00646BE0"/>
    <w:rsid w:val="006538C6"/>
    <w:rsid w:val="00666968"/>
    <w:rsid w:val="00667996"/>
    <w:rsid w:val="006B72C0"/>
    <w:rsid w:val="006B7DDF"/>
    <w:rsid w:val="006D1252"/>
    <w:rsid w:val="006D42F5"/>
    <w:rsid w:val="006E3D84"/>
    <w:rsid w:val="006F2470"/>
    <w:rsid w:val="007113ED"/>
    <w:rsid w:val="0074542A"/>
    <w:rsid w:val="00746E67"/>
    <w:rsid w:val="00747364"/>
    <w:rsid w:val="0075421B"/>
    <w:rsid w:val="007579F6"/>
    <w:rsid w:val="0076546B"/>
    <w:rsid w:val="00774C74"/>
    <w:rsid w:val="007869F2"/>
    <w:rsid w:val="007903F5"/>
    <w:rsid w:val="00793AF2"/>
    <w:rsid w:val="007A7F2B"/>
    <w:rsid w:val="007B2551"/>
    <w:rsid w:val="007B6EC7"/>
    <w:rsid w:val="007C170D"/>
    <w:rsid w:val="007F64A9"/>
    <w:rsid w:val="00817D7F"/>
    <w:rsid w:val="008234E6"/>
    <w:rsid w:val="00844921"/>
    <w:rsid w:val="00850934"/>
    <w:rsid w:val="0086379D"/>
    <w:rsid w:val="008727EE"/>
    <w:rsid w:val="008768CB"/>
    <w:rsid w:val="00893130"/>
    <w:rsid w:val="00897BB1"/>
    <w:rsid w:val="008A2616"/>
    <w:rsid w:val="008A5FA1"/>
    <w:rsid w:val="008E3025"/>
    <w:rsid w:val="008E6D3B"/>
    <w:rsid w:val="008F0D71"/>
    <w:rsid w:val="008F6018"/>
    <w:rsid w:val="008F786A"/>
    <w:rsid w:val="009442C2"/>
    <w:rsid w:val="00960F78"/>
    <w:rsid w:val="00973EE5"/>
    <w:rsid w:val="00985D66"/>
    <w:rsid w:val="00997CB3"/>
    <w:rsid w:val="009B78EF"/>
    <w:rsid w:val="009D7BA7"/>
    <w:rsid w:val="00A13A5F"/>
    <w:rsid w:val="00A21415"/>
    <w:rsid w:val="00A26EBC"/>
    <w:rsid w:val="00A33710"/>
    <w:rsid w:val="00A447D5"/>
    <w:rsid w:val="00A55727"/>
    <w:rsid w:val="00A615EC"/>
    <w:rsid w:val="00AA4DEE"/>
    <w:rsid w:val="00AA6472"/>
    <w:rsid w:val="00AA6A3A"/>
    <w:rsid w:val="00AC0E18"/>
    <w:rsid w:val="00AC11D8"/>
    <w:rsid w:val="00AE1910"/>
    <w:rsid w:val="00AF1DC7"/>
    <w:rsid w:val="00B21D4A"/>
    <w:rsid w:val="00B4640D"/>
    <w:rsid w:val="00B50481"/>
    <w:rsid w:val="00B522BA"/>
    <w:rsid w:val="00B7059B"/>
    <w:rsid w:val="00B72F06"/>
    <w:rsid w:val="00B77BA2"/>
    <w:rsid w:val="00B8762B"/>
    <w:rsid w:val="00B90315"/>
    <w:rsid w:val="00BB086A"/>
    <w:rsid w:val="00BC2512"/>
    <w:rsid w:val="00BD5720"/>
    <w:rsid w:val="00BF312F"/>
    <w:rsid w:val="00BF54E5"/>
    <w:rsid w:val="00C00526"/>
    <w:rsid w:val="00C118CF"/>
    <w:rsid w:val="00C3320B"/>
    <w:rsid w:val="00C3515F"/>
    <w:rsid w:val="00C40EF1"/>
    <w:rsid w:val="00C57C88"/>
    <w:rsid w:val="00C65A1B"/>
    <w:rsid w:val="00C854EB"/>
    <w:rsid w:val="00C92443"/>
    <w:rsid w:val="00CA49C1"/>
    <w:rsid w:val="00CA7327"/>
    <w:rsid w:val="00CB0331"/>
    <w:rsid w:val="00CB5E36"/>
    <w:rsid w:val="00CC21C2"/>
    <w:rsid w:val="00CF1BF3"/>
    <w:rsid w:val="00CF2894"/>
    <w:rsid w:val="00D02E0F"/>
    <w:rsid w:val="00D040C9"/>
    <w:rsid w:val="00D10B7A"/>
    <w:rsid w:val="00D408B8"/>
    <w:rsid w:val="00D5361A"/>
    <w:rsid w:val="00D87103"/>
    <w:rsid w:val="00D95C6D"/>
    <w:rsid w:val="00DA1F1C"/>
    <w:rsid w:val="00DA51F8"/>
    <w:rsid w:val="00DC7467"/>
    <w:rsid w:val="00DE683C"/>
    <w:rsid w:val="00E02FE6"/>
    <w:rsid w:val="00E3402D"/>
    <w:rsid w:val="00E45BCF"/>
    <w:rsid w:val="00E5513D"/>
    <w:rsid w:val="00E63867"/>
    <w:rsid w:val="00E63A47"/>
    <w:rsid w:val="00E6540F"/>
    <w:rsid w:val="00E747AC"/>
    <w:rsid w:val="00E85A22"/>
    <w:rsid w:val="00EA59C2"/>
    <w:rsid w:val="00EB159B"/>
    <w:rsid w:val="00ED6E30"/>
    <w:rsid w:val="00ED7E9A"/>
    <w:rsid w:val="00EE050F"/>
    <w:rsid w:val="00EE6CDF"/>
    <w:rsid w:val="00EF3649"/>
    <w:rsid w:val="00F10BE3"/>
    <w:rsid w:val="00F307DE"/>
    <w:rsid w:val="00F43413"/>
    <w:rsid w:val="00F60AA9"/>
    <w:rsid w:val="00F66EF5"/>
    <w:rsid w:val="00F94079"/>
    <w:rsid w:val="00FA16B3"/>
    <w:rsid w:val="00FB11C9"/>
    <w:rsid w:val="00FB3764"/>
    <w:rsid w:val="00FC7EC4"/>
    <w:rsid w:val="00FD22D0"/>
    <w:rsid w:val="00FE0262"/>
    <w:rsid w:val="00FE1536"/>
    <w:rsid w:val="00FF11A7"/>
    <w:rsid w:val="00FF2D4C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65A1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qFormat/>
    <w:rsid w:val="00C65A1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C65A1B"/>
    <w:rPr>
      <w:rFonts w:ascii="Times New Roman" w:eastAsia="MS Mincho" w:hAnsi="Times New Roman" w:cs="Times New Roman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792</Words>
  <Characters>4519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 (uie72904)</cp:lastModifiedBy>
  <cp:revision>4</cp:revision>
  <dcterms:created xsi:type="dcterms:W3CDTF">2023-05-11T20:06:00Z</dcterms:created>
  <dcterms:modified xsi:type="dcterms:W3CDTF">2023-05-11T20:12:00Z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